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1D515">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b w:val="0"/>
          <w:bCs/>
          <w:kern w:val="0"/>
          <w:sz w:val="44"/>
          <w:szCs w:val="44"/>
        </w:rPr>
      </w:pPr>
      <w:r>
        <w:rPr>
          <w:rFonts w:hint="eastAsia" w:ascii="方正小标宋简体" w:hAnsi="方正小标宋简体" w:eastAsia="方正小标宋简体" w:cs="方正小标宋简体"/>
          <w:b w:val="0"/>
          <w:bCs/>
          <w:kern w:val="0"/>
          <w:sz w:val="44"/>
          <w:szCs w:val="44"/>
        </w:rPr>
        <w:t>《</w:t>
      </w:r>
      <w:r>
        <w:rPr>
          <w:rFonts w:hint="eastAsia" w:ascii="方正小标宋简体" w:hAnsi="方正小标宋简体" w:eastAsia="方正小标宋简体" w:cs="方正小标宋简体"/>
          <w:b/>
          <w:spacing w:val="20"/>
          <w:sz w:val="44"/>
          <w:szCs w:val="44"/>
          <w:lang w:eastAsia="zh-CN"/>
        </w:rPr>
        <w:t>消费品召回风险评估工作指南</w:t>
      </w:r>
      <w:r>
        <w:rPr>
          <w:rFonts w:hint="eastAsia" w:ascii="方正小标宋简体" w:hAnsi="方正小标宋简体" w:eastAsia="方正小标宋简体" w:cs="方正小标宋简体"/>
          <w:b w:val="0"/>
          <w:bCs/>
          <w:kern w:val="0"/>
          <w:sz w:val="44"/>
          <w:szCs w:val="44"/>
        </w:rPr>
        <w:t>》</w:t>
      </w:r>
    </w:p>
    <w:p w14:paraId="450D8586">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b w:val="0"/>
          <w:bCs/>
          <w:kern w:val="0"/>
          <w:sz w:val="44"/>
          <w:szCs w:val="44"/>
        </w:rPr>
      </w:pPr>
      <w:r>
        <w:rPr>
          <w:rFonts w:hint="eastAsia" w:ascii="方正小标宋简体" w:hAnsi="方正小标宋简体" w:eastAsia="方正小标宋简体" w:cs="方正小标宋简体"/>
          <w:b w:val="0"/>
          <w:bCs/>
          <w:kern w:val="0"/>
          <w:sz w:val="44"/>
          <w:szCs w:val="44"/>
        </w:rPr>
        <w:t>地方标准编制说明</w:t>
      </w:r>
    </w:p>
    <w:p w14:paraId="3F7602F6">
      <w:pPr>
        <w:keepNext w:val="0"/>
        <w:keepLines w:val="0"/>
        <w:pageBreakBefore w:val="0"/>
        <w:kinsoku/>
        <w:wordWrap/>
        <w:overflowPunct/>
        <w:topLinePunct w:val="0"/>
        <w:autoSpaceDE/>
        <w:autoSpaceDN/>
        <w:bidi w:val="0"/>
        <w:adjustRightInd w:val="0"/>
        <w:snapToGrid w:val="0"/>
        <w:spacing w:line="560" w:lineRule="exact"/>
        <w:ind w:firstLine="880" w:firstLineChars="200"/>
        <w:jc w:val="center"/>
        <w:textAlignment w:val="auto"/>
        <w:rPr>
          <w:rFonts w:hint="eastAsia" w:ascii="方正小标宋简体" w:hAnsi="Times New Roman" w:eastAsia="方正小标宋简体"/>
          <w:b w:val="0"/>
          <w:bCs/>
          <w:kern w:val="0"/>
          <w:sz w:val="44"/>
          <w:szCs w:val="44"/>
        </w:rPr>
      </w:pPr>
    </w:p>
    <w:p w14:paraId="55A2E3C9">
      <w:pPr>
        <w:keepNext w:val="0"/>
        <w:keepLines w:val="0"/>
        <w:pageBreakBefore w:val="0"/>
        <w:numPr>
          <w:ilvl w:val="0"/>
          <w:numId w:val="2"/>
        </w:numP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lang w:eastAsia="zh-CN"/>
        </w:rPr>
        <w:t>任务来源及起草单位</w:t>
      </w:r>
    </w:p>
    <w:p w14:paraId="7C87DF6D">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Times New Roman" w:eastAsia="仿宋_GB2312"/>
          <w:kern w:val="0"/>
          <w:sz w:val="32"/>
          <w:szCs w:val="32"/>
          <w:highlight w:val="none"/>
          <w:lang w:val="en-US" w:eastAsia="zh-CN"/>
        </w:rPr>
      </w:pPr>
      <w:r>
        <w:rPr>
          <w:rFonts w:hint="eastAsia" w:ascii="仿宋_GB2312" w:hAnsi="Times New Roman" w:eastAsia="仿宋_GB2312"/>
          <w:kern w:val="0"/>
          <w:sz w:val="32"/>
          <w:szCs w:val="32"/>
          <w:highlight w:val="none"/>
          <w:lang w:val="en-US" w:eastAsia="zh-CN"/>
        </w:rPr>
        <w:t>根据《江西省市场监管局关于下达 2024 年第十批江西省地方标准制修订计划的通知》（赣市监标〔2023〕6号）文件精神，批准该规范列入制订计划，计划编号DB36-2024-10-38。</w:t>
      </w:r>
    </w:p>
    <w:p w14:paraId="168D462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Times New Roman" w:eastAsia="仿宋_GB2312"/>
          <w:kern w:val="0"/>
          <w:sz w:val="32"/>
          <w:szCs w:val="32"/>
          <w:highlight w:val="none"/>
          <w:lang w:val="en-US" w:eastAsia="zh-CN"/>
        </w:rPr>
      </w:pPr>
      <w:r>
        <w:rPr>
          <w:rFonts w:hint="eastAsia" w:ascii="仿宋_GB2312" w:hAnsi="Times New Roman" w:eastAsia="仿宋_GB2312"/>
          <w:kern w:val="0"/>
          <w:sz w:val="32"/>
          <w:szCs w:val="32"/>
          <w:lang w:val="en-US" w:eastAsia="zh-CN"/>
        </w:rPr>
        <w:t>本标准由江西省市场监督管理局质量发展局、江西省检验检测认证总院工业产品检验检测院、江西省质量和标准化研究院负责起草。</w:t>
      </w:r>
    </w:p>
    <w:p w14:paraId="6C3E6566">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 xml:space="preserve">二、制定标准的必要性和意义 </w:t>
      </w:r>
    </w:p>
    <w:p w14:paraId="36608231">
      <w:pPr>
        <w:keepNext w:val="0"/>
        <w:keepLines w:val="0"/>
        <w:pageBreakBefore w:val="0"/>
        <w:widowControl/>
        <w:suppressLineNumbers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（一）标准编制的必要性</w:t>
      </w:r>
    </w:p>
    <w:p w14:paraId="27BB3D9D">
      <w:pPr>
        <w:keepNext w:val="0"/>
        <w:keepLines w:val="0"/>
        <w:pageBreakBefore w:val="0"/>
        <w:widowControl/>
        <w:suppressLineNumbers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缺陷消费品存在质量安全风险,因消费品缺陷导致的危及消费者人身、财产安全伤害给国家、社会家庭和个人带来了沉重的经济和精神负担。召回缺陷消费品是一项国际通行的产品安全监管制度，也是加强事中事后监管的重要举措。但缺陷消费品存在质量安全风险严重程度、影响范围、影响时效等都有很大差别，对缺陷消费品是否采取召回措施，采取何种方式的召回措施都缺乏规范。因此规范消费品召回风险评估意义重大。</w:t>
      </w:r>
    </w:p>
    <w:p w14:paraId="72D78E5E">
      <w:pPr>
        <w:keepNext w:val="0"/>
        <w:keepLines w:val="0"/>
        <w:pageBreakBefore w:val="0"/>
        <w:widowControl/>
        <w:suppressLineNumbers w:val="0"/>
        <w:kinsoku/>
        <w:wordWrap/>
        <w:overflowPunct/>
        <w:topLinePunct w:val="0"/>
        <w:autoSpaceDE/>
        <w:autoSpaceDN/>
        <w:bidi w:val="0"/>
        <w:adjustRightInd w:val="0"/>
        <w:snapToGrid w:val="0"/>
        <w:spacing w:line="560" w:lineRule="exact"/>
        <w:ind w:firstLine="640" w:firstLineChars="200"/>
        <w:jc w:val="left"/>
        <w:textAlignment w:val="auto"/>
        <w:rPr>
          <w:rFonts w:hint="default"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（二）标准编制的意义</w:t>
      </w:r>
    </w:p>
    <w:p w14:paraId="5E0FC7C7">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宋体"/>
          <w:sz w:val="32"/>
          <w:szCs w:val="32"/>
        </w:rPr>
      </w:pPr>
      <w:r>
        <w:rPr>
          <w:rFonts w:hint="eastAsia" w:ascii="仿宋_GB2312" w:hAnsi="仿宋_GB2312" w:eastAsia="仿宋_GB2312" w:cs="宋体"/>
          <w:sz w:val="32"/>
          <w:szCs w:val="32"/>
        </w:rPr>
        <w:t>消费品召回风险评估是对消费品安全进行科学管理的体现，也是制定</w:t>
      </w:r>
      <w:r>
        <w:rPr>
          <w:rFonts w:hint="eastAsia" w:ascii="仿宋_GB2312" w:hAnsi="仿宋_GB2312" w:eastAsia="仿宋_GB2312" w:cs="宋体"/>
          <w:sz w:val="32"/>
          <w:szCs w:val="32"/>
          <w:lang w:eastAsia="zh-CN"/>
        </w:rPr>
        <w:t>消费</w:t>
      </w:r>
      <w:r>
        <w:rPr>
          <w:rFonts w:hint="eastAsia" w:ascii="仿宋_GB2312" w:hAnsi="仿宋_GB2312" w:eastAsia="仿宋_GB2312" w:cs="宋体"/>
          <w:sz w:val="32"/>
          <w:szCs w:val="32"/>
        </w:rPr>
        <w:t>品安全监管措施的重要依据。政府监管部门可根据风险评估的结果制定消费品安全标准，制定并修改相应的监管制度、措施和法规。同时，可通过风险评估,确定高风险的消费品种类，然后对其进行区别于一般风险消费品的特殊管理，进行重点控制和优先制定相应的标准，这样就可以更有效地应用有限的监管资源，提高消费品安全管理的效率。</w:t>
      </w:r>
    </w:p>
    <w:p w14:paraId="34554A69">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宋体"/>
          <w:sz w:val="32"/>
          <w:szCs w:val="32"/>
        </w:rPr>
      </w:pPr>
      <w:r>
        <w:rPr>
          <w:rFonts w:hint="eastAsia" w:ascii="仿宋_GB2312" w:hAnsi="仿宋_GB2312" w:eastAsia="仿宋_GB2312" w:cs="宋体"/>
          <w:sz w:val="32"/>
          <w:szCs w:val="32"/>
        </w:rPr>
        <w:t>消费品召回风险评估规范化、标准化工作对提高政府管理水平以及促进产品质量的提升具有重要意义。因此，应根据相关要求，建立完善的风险评估体系，并制定一系列的相关标准以及操作规范，使得消费品召回风险评估</w:t>
      </w:r>
      <w:r>
        <w:rPr>
          <w:rFonts w:hint="eastAsia" w:ascii="仿宋_GB2312" w:hAnsi="仿宋_GB2312" w:eastAsia="仿宋_GB2312" w:cs="宋体"/>
          <w:sz w:val="32"/>
          <w:szCs w:val="32"/>
          <w:lang w:eastAsia="zh-CN"/>
        </w:rPr>
        <w:t>更加</w:t>
      </w:r>
      <w:r>
        <w:rPr>
          <w:rFonts w:hint="eastAsia" w:ascii="仿宋_GB2312" w:hAnsi="仿宋_GB2312" w:eastAsia="仿宋_GB2312" w:cs="宋体"/>
          <w:sz w:val="32"/>
          <w:szCs w:val="32"/>
        </w:rPr>
        <w:t>科学、规范。为贯彻落实消费品召回管理相关工作要求，进一步推进我省缺陷消费品召回管理工作，省市监局结合我省实际情况，制订本标准。本标准的目的在于:围绕消费品风险评估的关键环节加以规范从而为江西省开展消费品风险评估提供参考依据，为优化风险评估方法提供支撑，以更好地服务于我省消费品召回的管理需要。故提出制定《消费品召回风险评估工作指南》地方标准。该标准的制定对我省消费品召回风险评估工作具有一定的指导意义。</w:t>
      </w:r>
    </w:p>
    <w:p w14:paraId="47A7AB4F">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kern w:val="0"/>
          <w:sz w:val="32"/>
          <w:szCs w:val="32"/>
          <w:lang w:eastAsia="zh-CN"/>
        </w:rPr>
      </w:pPr>
      <w:r>
        <w:rPr>
          <w:rFonts w:hint="eastAsia" w:ascii="黑体" w:hAnsi="黑体" w:eastAsia="黑体" w:cs="黑体"/>
          <w:b w:val="0"/>
          <w:bCs/>
          <w:kern w:val="0"/>
          <w:sz w:val="32"/>
          <w:szCs w:val="32"/>
        </w:rPr>
        <w:t>三、标准编制原则</w:t>
      </w:r>
    </w:p>
    <w:p w14:paraId="2DEF675C">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textAlignment w:val="auto"/>
        <w:outlineLvl w:val="0"/>
        <w:rPr>
          <w:rFonts w:hint="eastAsia" w:ascii="仿宋_GB2312" w:hAnsi="Times New Roman" w:eastAsia="仿宋_GB2312"/>
          <w:kern w:val="0"/>
          <w:sz w:val="32"/>
          <w:szCs w:val="32"/>
        </w:rPr>
      </w:pPr>
      <w:r>
        <w:rPr>
          <w:rFonts w:hint="eastAsia" w:ascii="仿宋_GB2312" w:hAnsi="Times New Roman" w:eastAsia="仿宋_GB2312"/>
          <w:kern w:val="0"/>
          <w:sz w:val="32"/>
          <w:szCs w:val="32"/>
        </w:rPr>
        <w:t>本标准在编制过程中，主要遵循了科学性、</w:t>
      </w:r>
      <w:r>
        <w:rPr>
          <w:rFonts w:hint="eastAsia" w:ascii="仿宋_GB2312" w:hAnsi="Times New Roman" w:eastAsia="仿宋_GB2312"/>
          <w:kern w:val="0"/>
          <w:sz w:val="32"/>
          <w:szCs w:val="32"/>
          <w:lang w:eastAsia="zh-CN"/>
        </w:rPr>
        <w:t>适用性、</w:t>
      </w:r>
      <w:r>
        <w:rPr>
          <w:rFonts w:hint="eastAsia" w:ascii="仿宋_GB2312" w:hAnsi="Times New Roman" w:eastAsia="仿宋_GB2312"/>
          <w:kern w:val="0"/>
          <w:sz w:val="32"/>
          <w:szCs w:val="32"/>
        </w:rPr>
        <w:t>规范性</w:t>
      </w:r>
      <w:r>
        <w:rPr>
          <w:rFonts w:hint="eastAsia" w:ascii="仿宋_GB2312" w:hAnsi="Times New Roman" w:eastAsia="仿宋_GB2312"/>
          <w:kern w:val="0"/>
          <w:sz w:val="32"/>
          <w:szCs w:val="32"/>
          <w:lang w:val="en-US" w:eastAsia="zh-CN"/>
        </w:rPr>
        <w:t>和可操作性</w:t>
      </w:r>
      <w:r>
        <w:rPr>
          <w:rFonts w:hint="eastAsia" w:ascii="仿宋_GB2312" w:hAnsi="Times New Roman" w:eastAsia="仿宋_GB2312"/>
          <w:kern w:val="0"/>
          <w:sz w:val="32"/>
          <w:szCs w:val="32"/>
        </w:rPr>
        <w:t>的原则。</w:t>
      </w:r>
    </w:p>
    <w:p w14:paraId="57E22111">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textAlignment w:val="auto"/>
        <w:outlineLvl w:val="0"/>
        <w:rPr>
          <w:rFonts w:hint="eastAsia"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（一）科学性原则</w:t>
      </w:r>
    </w:p>
    <w:p w14:paraId="25DD2067">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leftChars="0" w:firstLine="640" w:firstLineChars="200"/>
        <w:textAlignment w:val="auto"/>
        <w:outlineLvl w:val="0"/>
        <w:rPr>
          <w:rFonts w:hint="eastAsia"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本标准严格遵守国家相关法律、文件，深入钻研相关理论，认真梳理国家层面和省内相关的法律法规和政策文本，按《缺陷消费品召回工作管理规范》《江西省缺陷消费品召回管理工作暂行办法》中的原则要求进行编写。与各设区市缺陷消费品召回技术机构开展交流，掌握</w:t>
      </w:r>
      <w:r>
        <w:rPr>
          <w:rFonts w:hint="eastAsia" w:ascii="仿宋_GB2312" w:hAnsi="Times New Roman" w:eastAsia="仿宋_GB2312"/>
          <w:kern w:val="0"/>
          <w:sz w:val="32"/>
          <w:szCs w:val="32"/>
          <w:lang w:eastAsia="zh-CN"/>
        </w:rPr>
        <w:t>各地缺陷</w:t>
      </w:r>
      <w:r>
        <w:rPr>
          <w:rFonts w:hint="eastAsia" w:ascii="仿宋_GB2312" w:hAnsi="Times New Roman" w:eastAsia="仿宋_GB2312"/>
          <w:kern w:val="0"/>
          <w:sz w:val="32"/>
          <w:szCs w:val="32"/>
          <w:lang w:val="en-US" w:eastAsia="zh-CN"/>
        </w:rPr>
        <w:t>消费品召回风险评估工作运行情况，在理论和实际工作方面体现该标准的科学性。</w:t>
      </w:r>
    </w:p>
    <w:p w14:paraId="4E68C4F2">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textAlignment w:val="auto"/>
        <w:outlineLvl w:val="0"/>
        <w:rPr>
          <w:rFonts w:hint="eastAsia"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（二）适用性原则</w:t>
      </w:r>
    </w:p>
    <w:p w14:paraId="0FD8688A">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leftChars="0" w:firstLine="640" w:firstLineChars="200"/>
        <w:textAlignment w:val="auto"/>
        <w:outlineLvl w:val="0"/>
        <w:rPr>
          <w:rFonts w:hint="eastAsia"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 xml:space="preserve">以推动我省缺陷消费品召回风险评估工作为基础，标准制定充分考虑了我省缺陷消费品召回风险评估工作的实际情况，详细梳理了召回风险评估工作操作流程，明确了召回风险评估工作的原则，以及对各级市场监管部门、领域专家、生产者在召回工作中的相关要求。 </w:t>
      </w:r>
    </w:p>
    <w:p w14:paraId="558443AC">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leftChars="0" w:firstLine="640" w:firstLineChars="200"/>
        <w:textAlignment w:val="auto"/>
        <w:outlineLvl w:val="0"/>
        <w:rPr>
          <w:rFonts w:hint="eastAsia"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（三）</w:t>
      </w:r>
      <w:r>
        <w:rPr>
          <w:rFonts w:hint="eastAsia" w:ascii="仿宋_GB2312" w:hAnsi="Times New Roman" w:eastAsia="仿宋_GB2312"/>
          <w:kern w:val="0"/>
          <w:sz w:val="32"/>
          <w:szCs w:val="32"/>
        </w:rPr>
        <w:t>规范性</w:t>
      </w:r>
      <w:r>
        <w:rPr>
          <w:rFonts w:hint="eastAsia" w:ascii="仿宋_GB2312" w:hAnsi="Times New Roman" w:eastAsia="仿宋_GB2312"/>
          <w:kern w:val="0"/>
          <w:sz w:val="32"/>
          <w:szCs w:val="32"/>
          <w:lang w:val="en-US" w:eastAsia="zh-CN"/>
        </w:rPr>
        <w:t>原则</w:t>
      </w:r>
    </w:p>
    <w:p w14:paraId="328640E3">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leftChars="0" w:firstLine="640" w:firstLineChars="200"/>
        <w:textAlignment w:val="auto"/>
        <w:outlineLvl w:val="0"/>
        <w:rPr>
          <w:rFonts w:hint="eastAsia" w:ascii="仿宋_GB2312" w:hAnsi="Times New Roman" w:eastAsia="仿宋_GB2312"/>
          <w:kern w:val="0"/>
          <w:sz w:val="32"/>
          <w:szCs w:val="32"/>
        </w:rPr>
      </w:pPr>
      <w:r>
        <w:rPr>
          <w:rFonts w:hint="eastAsia" w:ascii="仿宋_GB2312" w:hAnsi="Times New Roman" w:eastAsia="仿宋_GB2312"/>
          <w:kern w:val="0"/>
          <w:sz w:val="32"/>
          <w:szCs w:val="32"/>
          <w:lang w:eastAsia="zh-CN"/>
        </w:rPr>
        <w:t>本标准</w:t>
      </w:r>
      <w:r>
        <w:rPr>
          <w:rFonts w:hint="eastAsia" w:ascii="仿宋_GB2312" w:hAnsi="Times New Roman" w:eastAsia="仿宋_GB2312"/>
          <w:kern w:val="0"/>
          <w:sz w:val="32"/>
          <w:szCs w:val="32"/>
        </w:rPr>
        <w:t>格式上严格按照GB/T1.1-20</w:t>
      </w:r>
      <w:r>
        <w:rPr>
          <w:rFonts w:ascii="仿宋_GB2312" w:hAnsi="Times New Roman" w:eastAsia="仿宋_GB2312"/>
          <w:kern w:val="0"/>
          <w:sz w:val="32"/>
          <w:szCs w:val="32"/>
        </w:rPr>
        <w:t>20</w:t>
      </w:r>
      <w:r>
        <w:rPr>
          <w:rFonts w:hint="eastAsia" w:ascii="仿宋_GB2312" w:hAnsi="Times New Roman" w:eastAsia="仿宋_GB2312"/>
          <w:kern w:val="0"/>
          <w:sz w:val="32"/>
          <w:szCs w:val="32"/>
        </w:rPr>
        <w:t>的规定进行编写。</w:t>
      </w:r>
    </w:p>
    <w:p w14:paraId="4A8BA3A1">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leftChars="0" w:firstLine="640" w:firstLineChars="200"/>
        <w:textAlignment w:val="auto"/>
        <w:outlineLvl w:val="0"/>
        <w:rPr>
          <w:rFonts w:hint="eastAsia"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（四）可操作性原则</w:t>
      </w:r>
    </w:p>
    <w:p w14:paraId="7E003E06">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textAlignment w:val="auto"/>
        <w:outlineLvl w:val="0"/>
        <w:rPr>
          <w:rFonts w:hint="eastAsia"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本标准结合了各设区市缺陷消费品召回技术机构的实际操作，能为缺陷消费品召回风险评估工作提供参考及标准依据。</w:t>
      </w:r>
    </w:p>
    <w:p w14:paraId="2C89D037">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四、标准编制过程</w:t>
      </w:r>
    </w:p>
    <w:p w14:paraId="14A1BC9D">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宋体"/>
          <w:sz w:val="32"/>
          <w:szCs w:val="32"/>
        </w:rPr>
      </w:pPr>
      <w:r>
        <w:rPr>
          <w:rFonts w:hint="eastAsia" w:ascii="仿宋_GB2312" w:hAnsi="仿宋_GB2312" w:eastAsia="仿宋_GB2312" w:cs="宋体"/>
          <w:sz w:val="32"/>
          <w:szCs w:val="32"/>
        </w:rPr>
        <w:t>本标准的起草小组由</w:t>
      </w:r>
      <w:r>
        <w:rPr>
          <w:rFonts w:hint="eastAsia" w:ascii="仿宋_GB2312" w:hAnsi="Times New Roman" w:eastAsia="仿宋_GB2312"/>
          <w:kern w:val="0"/>
          <w:sz w:val="32"/>
          <w:szCs w:val="32"/>
          <w:lang w:val="en-US" w:eastAsia="zh-CN"/>
        </w:rPr>
        <w:t>江西省市场监督管理局质量发展局、江西省检验检测认证总院工业产品检验检测院、江西省质量和标准化研究院</w:t>
      </w:r>
      <w:r>
        <w:rPr>
          <w:rFonts w:hint="eastAsia" w:ascii="仿宋_GB2312" w:hAnsi="仿宋_GB2312" w:eastAsia="仿宋_GB2312" w:cs="宋体"/>
          <w:sz w:val="32"/>
          <w:szCs w:val="32"/>
        </w:rPr>
        <w:t>共同组建，具体工作流程安排如下：</w:t>
      </w:r>
    </w:p>
    <w:p w14:paraId="3CA2A338">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宋体"/>
          <w:sz w:val="32"/>
          <w:szCs w:val="32"/>
        </w:rPr>
      </w:pPr>
      <w:r>
        <w:rPr>
          <w:rFonts w:hint="default" w:ascii="仿宋_GB2312" w:hAnsi="仿宋_GB2312" w:eastAsia="仿宋_GB2312" w:cs="宋体"/>
          <w:sz w:val="32"/>
          <w:szCs w:val="32"/>
        </w:rPr>
        <w:t>（</w:t>
      </w:r>
      <w:r>
        <w:rPr>
          <w:rFonts w:hint="default" w:ascii="仿宋_GB2312" w:hAnsi="仿宋_GB2312" w:eastAsia="仿宋_GB2312" w:cs="宋体"/>
          <w:sz w:val="32"/>
          <w:szCs w:val="32"/>
          <w:lang w:val="en-US" w:eastAsia="zh-CN"/>
        </w:rPr>
        <w:t>1</w:t>
      </w:r>
      <w:r>
        <w:rPr>
          <w:rFonts w:hint="default" w:ascii="仿宋_GB2312" w:hAnsi="仿宋_GB2312" w:eastAsia="仿宋_GB2312" w:cs="宋体"/>
          <w:sz w:val="32"/>
          <w:szCs w:val="32"/>
        </w:rPr>
        <w:t>）</w:t>
      </w:r>
      <w:r>
        <w:rPr>
          <w:rFonts w:hint="eastAsia" w:ascii="仿宋_GB2312" w:hAnsi="仿宋_GB2312" w:eastAsia="仿宋_GB2312" w:cs="宋体"/>
          <w:sz w:val="32"/>
          <w:szCs w:val="32"/>
        </w:rPr>
        <w:t>成立</w:t>
      </w:r>
      <w:r>
        <w:rPr>
          <w:rFonts w:hint="eastAsia" w:ascii="仿宋_GB2312" w:hAnsi="仿宋_GB2312" w:eastAsia="仿宋_GB2312" w:cs="宋体"/>
          <w:sz w:val="32"/>
          <w:szCs w:val="32"/>
          <w:lang w:eastAsia="zh-CN"/>
        </w:rPr>
        <w:t>起草</w:t>
      </w:r>
      <w:r>
        <w:rPr>
          <w:rFonts w:hint="eastAsia" w:ascii="仿宋_GB2312" w:hAnsi="仿宋_GB2312" w:eastAsia="仿宋_GB2312" w:cs="宋体"/>
          <w:sz w:val="32"/>
          <w:szCs w:val="32"/>
        </w:rPr>
        <w:t>小组</w:t>
      </w:r>
    </w:p>
    <w:p w14:paraId="720E12EC">
      <w:pPr>
        <w:keepNext w:val="0"/>
        <w:keepLines w:val="0"/>
        <w:pageBreakBefore w:val="0"/>
        <w:numPr>
          <w:ilvl w:val="0"/>
          <w:numId w:val="0"/>
        </w:numPr>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宋体"/>
          <w:sz w:val="32"/>
          <w:szCs w:val="32"/>
        </w:rPr>
      </w:pPr>
      <w:r>
        <w:rPr>
          <w:rFonts w:hint="eastAsia" w:ascii="仿宋_GB2312" w:hAnsi="Times New Roman" w:eastAsia="仿宋_GB2312"/>
          <w:color w:val="000000"/>
          <w:kern w:val="0"/>
          <w:sz w:val="32"/>
          <w:szCs w:val="32"/>
        </w:rPr>
        <w:t>成立《消费品召回风险评估工作指南》</w:t>
      </w:r>
      <w:r>
        <w:rPr>
          <w:rFonts w:hint="eastAsia" w:ascii="仿宋_GB2312" w:hAnsi="Times New Roman" w:eastAsia="仿宋_GB2312"/>
          <w:color w:val="000000"/>
          <w:kern w:val="0"/>
          <w:sz w:val="32"/>
          <w:szCs w:val="32"/>
          <w:lang w:eastAsia="zh-CN"/>
        </w:rPr>
        <w:t>省级</w:t>
      </w:r>
      <w:r>
        <w:rPr>
          <w:rFonts w:hint="eastAsia" w:ascii="仿宋_GB2312" w:hAnsi="Times New Roman" w:eastAsia="仿宋_GB2312"/>
          <w:color w:val="000000"/>
          <w:kern w:val="0"/>
          <w:sz w:val="32"/>
          <w:szCs w:val="32"/>
        </w:rPr>
        <w:t>地方标准起草小组，</w:t>
      </w:r>
      <w:r>
        <w:rPr>
          <w:rFonts w:hint="eastAsia" w:ascii="仿宋_GB2312" w:hAnsi="仿宋_GB2312" w:eastAsia="仿宋_GB2312" w:cs="宋体"/>
          <w:sz w:val="32"/>
          <w:szCs w:val="32"/>
        </w:rPr>
        <w:t>明确任务分工和工作职责，制定标准化</w:t>
      </w:r>
      <w:r>
        <w:rPr>
          <w:rFonts w:hint="eastAsia" w:ascii="仿宋_GB2312" w:hAnsi="仿宋_GB2312" w:eastAsia="仿宋_GB2312" w:cs="宋体"/>
          <w:sz w:val="32"/>
          <w:szCs w:val="32"/>
          <w:lang w:eastAsia="zh-CN"/>
        </w:rPr>
        <w:t>召回</w:t>
      </w:r>
      <w:r>
        <w:rPr>
          <w:rFonts w:hint="eastAsia" w:ascii="仿宋_GB2312" w:hAnsi="仿宋_GB2312" w:eastAsia="仿宋_GB2312" w:cs="宋体"/>
          <w:sz w:val="32"/>
          <w:szCs w:val="32"/>
        </w:rPr>
        <w:t>工作方案，全面推进标准化编制工作。</w:t>
      </w:r>
    </w:p>
    <w:p w14:paraId="30811CFF">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default" w:ascii="仿宋_GB2312" w:hAnsi="仿宋_GB2312" w:eastAsia="仿宋_GB2312" w:cs="宋体"/>
          <w:sz w:val="32"/>
          <w:szCs w:val="32"/>
        </w:rPr>
      </w:pPr>
      <w:r>
        <w:rPr>
          <w:rFonts w:hint="default" w:ascii="仿宋_GB2312" w:hAnsi="仿宋_GB2312" w:eastAsia="仿宋_GB2312" w:cs="宋体"/>
          <w:sz w:val="32"/>
          <w:szCs w:val="32"/>
        </w:rPr>
        <w:t>（</w:t>
      </w:r>
      <w:r>
        <w:rPr>
          <w:rFonts w:hint="eastAsia" w:ascii="仿宋_GB2312" w:hAnsi="仿宋_GB2312" w:eastAsia="仿宋_GB2312" w:cs="宋体"/>
          <w:sz w:val="32"/>
          <w:szCs w:val="32"/>
          <w:lang w:val="en-US" w:eastAsia="zh-CN"/>
        </w:rPr>
        <w:t>2</w:t>
      </w:r>
      <w:r>
        <w:rPr>
          <w:rFonts w:hint="default" w:ascii="仿宋_GB2312" w:hAnsi="仿宋_GB2312" w:eastAsia="仿宋_GB2312" w:cs="宋体"/>
          <w:sz w:val="32"/>
          <w:szCs w:val="32"/>
        </w:rPr>
        <w:t>）调研与材料收集</w:t>
      </w:r>
    </w:p>
    <w:p w14:paraId="69F43FC2">
      <w:pPr>
        <w:keepNext w:val="0"/>
        <w:keepLines w:val="0"/>
        <w:pageBreakBefore w:val="0"/>
        <w:numPr>
          <w:ilvl w:val="0"/>
          <w:numId w:val="0"/>
        </w:numPr>
        <w:kinsoku/>
        <w:wordWrap/>
        <w:overflowPunct/>
        <w:topLinePunct w:val="0"/>
        <w:bidi w:val="0"/>
        <w:adjustRightInd w:val="0"/>
        <w:snapToGrid w:val="0"/>
        <w:spacing w:line="560" w:lineRule="exact"/>
        <w:ind w:firstLine="640" w:firstLineChars="200"/>
        <w:textAlignment w:val="auto"/>
        <w:rPr>
          <w:rFonts w:hint="eastAsia" w:ascii="仿宋_GB2312" w:hAnsi="Times New Roman" w:eastAsia="仿宋_GB2312"/>
          <w:color w:val="000000"/>
          <w:kern w:val="0"/>
          <w:sz w:val="32"/>
          <w:szCs w:val="32"/>
          <w:lang w:eastAsia="zh-CN"/>
        </w:rPr>
      </w:pPr>
      <w:r>
        <w:rPr>
          <w:rFonts w:hint="eastAsia" w:ascii="仿宋_GB2312" w:hAnsi="Times New Roman" w:eastAsia="仿宋_GB2312"/>
          <w:color w:val="000000"/>
          <w:kern w:val="0"/>
          <w:sz w:val="32"/>
          <w:szCs w:val="32"/>
        </w:rPr>
        <w:t>对标准内容进行调研、</w:t>
      </w:r>
      <w:r>
        <w:rPr>
          <w:rFonts w:hint="eastAsia" w:ascii="仿宋_GB2312" w:hAnsi="Times New Roman" w:eastAsia="仿宋_GB2312"/>
          <w:color w:val="000000"/>
          <w:kern w:val="0"/>
          <w:sz w:val="32"/>
          <w:szCs w:val="32"/>
          <w:lang w:val="en-US" w:eastAsia="zh-CN"/>
        </w:rPr>
        <w:t>论证</w:t>
      </w:r>
      <w:r>
        <w:rPr>
          <w:rFonts w:hint="eastAsia" w:ascii="仿宋_GB2312" w:hAnsi="Times New Roman" w:eastAsia="仿宋_GB2312"/>
          <w:color w:val="000000"/>
          <w:kern w:val="0"/>
          <w:sz w:val="32"/>
          <w:szCs w:val="32"/>
        </w:rPr>
        <w:t>，收集相关</w:t>
      </w:r>
      <w:r>
        <w:rPr>
          <w:rFonts w:hint="eastAsia" w:ascii="仿宋_GB2312" w:hAnsi="Times New Roman" w:eastAsia="仿宋_GB2312"/>
          <w:color w:val="000000"/>
          <w:kern w:val="0"/>
          <w:sz w:val="32"/>
          <w:szCs w:val="32"/>
          <w:lang w:val="en-US" w:eastAsia="zh-CN"/>
        </w:rPr>
        <w:t>文献</w:t>
      </w:r>
      <w:r>
        <w:rPr>
          <w:rFonts w:hint="eastAsia" w:ascii="仿宋_GB2312" w:hAnsi="Times New Roman" w:eastAsia="仿宋_GB2312"/>
          <w:color w:val="000000"/>
          <w:kern w:val="0"/>
          <w:sz w:val="32"/>
          <w:szCs w:val="32"/>
        </w:rPr>
        <w:t>资料，完成前期调研和资料收集工作；召开标准起草研讨会，</w:t>
      </w:r>
      <w:r>
        <w:rPr>
          <w:rFonts w:hint="eastAsia" w:ascii="仿宋_GB2312" w:hAnsi="Times New Roman" w:eastAsia="仿宋_GB2312"/>
          <w:color w:val="000000"/>
          <w:kern w:val="0"/>
          <w:sz w:val="32"/>
          <w:szCs w:val="32"/>
          <w:lang w:val="en-US" w:eastAsia="zh-CN"/>
        </w:rPr>
        <w:t>对标准科学性、可操作性进行论证，</w:t>
      </w:r>
      <w:r>
        <w:rPr>
          <w:rFonts w:hint="eastAsia" w:ascii="仿宋_GB2312" w:hAnsi="Times New Roman" w:eastAsia="仿宋_GB2312"/>
          <w:color w:val="000000"/>
          <w:kern w:val="0"/>
          <w:sz w:val="32"/>
          <w:szCs w:val="32"/>
        </w:rPr>
        <w:t>对前期调研收集的资料进行筛选，确定标准起草的主要内容</w:t>
      </w:r>
      <w:r>
        <w:rPr>
          <w:rFonts w:hint="eastAsia" w:ascii="仿宋_GB2312" w:hAnsi="Times New Roman" w:eastAsia="仿宋_GB2312"/>
          <w:color w:val="000000"/>
          <w:kern w:val="0"/>
          <w:sz w:val="32"/>
          <w:szCs w:val="32"/>
          <w:lang w:eastAsia="zh-CN"/>
        </w:rPr>
        <w:t>。</w:t>
      </w:r>
    </w:p>
    <w:p w14:paraId="12012581">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宋体"/>
          <w:sz w:val="32"/>
          <w:szCs w:val="32"/>
          <w:lang w:val="en-US" w:eastAsia="zh-CN"/>
        </w:rPr>
      </w:pPr>
      <w:r>
        <w:rPr>
          <w:rFonts w:hint="default" w:ascii="仿宋_GB2312" w:hAnsi="仿宋_GB2312" w:eastAsia="仿宋_GB2312" w:cs="宋体"/>
          <w:sz w:val="32"/>
          <w:szCs w:val="32"/>
        </w:rPr>
        <w:t>（</w:t>
      </w:r>
      <w:r>
        <w:rPr>
          <w:rFonts w:hint="eastAsia" w:ascii="仿宋_GB2312" w:hAnsi="仿宋_GB2312" w:eastAsia="仿宋_GB2312" w:cs="宋体"/>
          <w:sz w:val="32"/>
          <w:szCs w:val="32"/>
          <w:lang w:val="en-US" w:eastAsia="zh-CN"/>
        </w:rPr>
        <w:t>3</w:t>
      </w:r>
      <w:r>
        <w:rPr>
          <w:rFonts w:hint="default" w:ascii="仿宋_GB2312" w:hAnsi="仿宋_GB2312" w:eastAsia="仿宋_GB2312" w:cs="宋体"/>
          <w:sz w:val="32"/>
          <w:szCs w:val="32"/>
        </w:rPr>
        <w:t>）</w:t>
      </w:r>
      <w:r>
        <w:rPr>
          <w:rFonts w:hint="eastAsia" w:ascii="仿宋_GB2312" w:hAnsi="仿宋_GB2312" w:eastAsia="仿宋_GB2312" w:cs="宋体"/>
          <w:sz w:val="32"/>
          <w:szCs w:val="32"/>
          <w:lang w:val="en-US" w:eastAsia="zh-CN"/>
        </w:rPr>
        <w:t>标准编写与立项</w:t>
      </w:r>
    </w:p>
    <w:p w14:paraId="2A38841D">
      <w:pPr>
        <w:keepNext w:val="0"/>
        <w:keepLines w:val="0"/>
        <w:pageBreakBefore w:val="0"/>
        <w:numPr>
          <w:ilvl w:val="0"/>
          <w:numId w:val="0"/>
        </w:numPr>
        <w:kinsoku/>
        <w:wordWrap/>
        <w:overflowPunct/>
        <w:topLinePunct w:val="0"/>
        <w:bidi w:val="0"/>
        <w:adjustRightInd w:val="0"/>
        <w:snapToGrid w:val="0"/>
        <w:spacing w:line="560" w:lineRule="exact"/>
        <w:ind w:firstLine="640" w:firstLineChars="200"/>
        <w:textAlignment w:val="auto"/>
        <w:rPr>
          <w:rFonts w:hint="eastAsia" w:ascii="仿宋_GB2312" w:hAnsi="Times New Roman" w:eastAsia="仿宋_GB2312"/>
          <w:color w:val="000000"/>
          <w:kern w:val="0"/>
          <w:sz w:val="32"/>
          <w:szCs w:val="32"/>
          <w:lang w:eastAsia="zh-CN"/>
        </w:rPr>
      </w:pPr>
      <w:r>
        <w:rPr>
          <w:rFonts w:hint="eastAsia" w:ascii="仿宋_GB2312" w:hAnsi="Times New Roman" w:eastAsia="仿宋_GB2312"/>
          <w:color w:val="000000"/>
          <w:kern w:val="0"/>
          <w:sz w:val="32"/>
          <w:szCs w:val="32"/>
          <w:lang w:eastAsia="zh-CN"/>
        </w:rPr>
        <w:t>标准起草小组通过查阅相关的法律法规、文件资料，根据标准化相关规范性文件，完成标准草案和项目建议书。由省市场监督管理局审核后申请立项，顺利通过立项评估会，并于202</w:t>
      </w:r>
      <w:r>
        <w:rPr>
          <w:rFonts w:hint="eastAsia" w:ascii="仿宋_GB2312" w:hAnsi="Times New Roman" w:eastAsia="仿宋_GB2312"/>
          <w:color w:val="000000"/>
          <w:kern w:val="0"/>
          <w:sz w:val="32"/>
          <w:szCs w:val="32"/>
          <w:lang w:val="en-US" w:eastAsia="zh-CN"/>
        </w:rPr>
        <w:t>4</w:t>
      </w:r>
      <w:r>
        <w:rPr>
          <w:rFonts w:hint="eastAsia" w:ascii="仿宋_GB2312" w:hAnsi="Times New Roman" w:eastAsia="仿宋_GB2312"/>
          <w:color w:val="000000"/>
          <w:kern w:val="0"/>
          <w:sz w:val="32"/>
          <w:szCs w:val="32"/>
          <w:lang w:eastAsia="zh-CN"/>
        </w:rPr>
        <w:t>年</w:t>
      </w:r>
      <w:r>
        <w:rPr>
          <w:rFonts w:hint="eastAsia" w:ascii="仿宋_GB2312" w:hAnsi="Times New Roman" w:eastAsia="仿宋_GB2312"/>
          <w:color w:val="000000"/>
          <w:kern w:val="0"/>
          <w:sz w:val="32"/>
          <w:szCs w:val="32"/>
          <w:lang w:val="en-US" w:eastAsia="zh-CN"/>
        </w:rPr>
        <w:t>12</w:t>
      </w:r>
      <w:r>
        <w:rPr>
          <w:rFonts w:hint="eastAsia" w:ascii="仿宋_GB2312" w:hAnsi="Times New Roman" w:eastAsia="仿宋_GB2312"/>
          <w:color w:val="000000"/>
          <w:kern w:val="0"/>
          <w:sz w:val="32"/>
          <w:szCs w:val="32"/>
          <w:lang w:eastAsia="zh-CN"/>
        </w:rPr>
        <w:t>月由省市场监督管理局下达立项计划。</w:t>
      </w:r>
    </w:p>
    <w:p w14:paraId="211EFF0A">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宋体"/>
          <w:sz w:val="32"/>
          <w:szCs w:val="32"/>
          <w:lang w:val="en-US" w:eastAsia="zh-CN"/>
        </w:rPr>
      </w:pPr>
      <w:r>
        <w:rPr>
          <w:rFonts w:hint="default" w:ascii="仿宋_GB2312" w:hAnsi="仿宋_GB2312" w:eastAsia="仿宋_GB2312" w:cs="宋体"/>
          <w:sz w:val="32"/>
          <w:szCs w:val="32"/>
        </w:rPr>
        <w:t>（</w:t>
      </w:r>
      <w:r>
        <w:rPr>
          <w:rFonts w:hint="eastAsia" w:ascii="仿宋_GB2312" w:hAnsi="仿宋_GB2312" w:eastAsia="仿宋_GB2312" w:cs="宋体"/>
          <w:sz w:val="32"/>
          <w:szCs w:val="32"/>
          <w:lang w:val="en-US" w:eastAsia="zh-CN"/>
        </w:rPr>
        <w:t>4</w:t>
      </w:r>
      <w:r>
        <w:rPr>
          <w:rFonts w:hint="default" w:ascii="仿宋_GB2312" w:hAnsi="仿宋_GB2312" w:eastAsia="仿宋_GB2312" w:cs="宋体"/>
          <w:sz w:val="32"/>
          <w:szCs w:val="32"/>
        </w:rPr>
        <w:t>）</w:t>
      </w:r>
      <w:r>
        <w:rPr>
          <w:rFonts w:hint="eastAsia" w:ascii="仿宋_GB2312" w:hAnsi="仿宋_GB2312" w:eastAsia="仿宋_GB2312" w:cs="宋体"/>
          <w:sz w:val="32"/>
          <w:szCs w:val="32"/>
          <w:lang w:val="en-US" w:eastAsia="zh-CN"/>
        </w:rPr>
        <w:t>标准研讨及完善</w:t>
      </w:r>
    </w:p>
    <w:p w14:paraId="04EE82CD">
      <w:pPr>
        <w:pStyle w:val="2"/>
        <w:keepNext w:val="0"/>
        <w:keepLines w:val="0"/>
        <w:pageBreakBefore w:val="0"/>
        <w:numPr>
          <w:ilvl w:val="0"/>
          <w:numId w:val="0"/>
        </w:numPr>
        <w:kinsoku/>
        <w:wordWrap/>
        <w:overflowPunct/>
        <w:topLinePunct w:val="0"/>
        <w:bidi w:val="0"/>
        <w:adjustRightInd w:val="0"/>
        <w:snapToGrid w:val="0"/>
        <w:spacing w:line="560" w:lineRule="exact"/>
        <w:ind w:firstLine="640" w:firstLineChars="200"/>
        <w:textAlignment w:val="auto"/>
        <w:rPr>
          <w:rFonts w:hint="eastAsia"/>
          <w:lang w:eastAsia="zh-CN"/>
        </w:rPr>
      </w:pPr>
      <w:r>
        <w:rPr>
          <w:rFonts w:hint="eastAsia" w:ascii="仿宋_GB2312" w:hAnsi="Times New Roman" w:eastAsia="仿宋_GB2312" w:cs="Times New Roman"/>
          <w:color w:val="000000"/>
          <w:kern w:val="0"/>
          <w:sz w:val="32"/>
          <w:szCs w:val="32"/>
          <w:lang w:val="en-US" w:eastAsia="zh-CN" w:bidi="ar-SA"/>
        </w:rPr>
        <w:t>为进一步完善标准内容，</w:t>
      </w:r>
      <w:r>
        <w:rPr>
          <w:rFonts w:hint="eastAsia" w:ascii="仿宋_GB2312" w:hAnsi="Times New Roman" w:eastAsia="仿宋_GB2312"/>
          <w:color w:val="000000"/>
          <w:kern w:val="0"/>
          <w:sz w:val="32"/>
          <w:szCs w:val="32"/>
          <w:lang w:eastAsia="zh-CN"/>
        </w:rPr>
        <w:t>标准起草小组</w:t>
      </w:r>
      <w:r>
        <w:rPr>
          <w:rFonts w:hint="eastAsia" w:ascii="仿宋_GB2312" w:hAnsi="Times New Roman" w:eastAsia="仿宋_GB2312" w:cs="Times New Roman"/>
          <w:color w:val="000000"/>
          <w:kern w:val="0"/>
          <w:sz w:val="32"/>
          <w:szCs w:val="32"/>
          <w:lang w:val="en-US" w:eastAsia="zh-CN" w:bidi="ar-SA"/>
        </w:rPr>
        <w:t>多次组织召开研讨会，征询起草小组内部成员、科研院所、召回技术机构等专家的意见。不断完善标准内容，初步形成征求意见稿。</w:t>
      </w:r>
    </w:p>
    <w:p w14:paraId="3781C42C">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五、标准主要条款编制说明</w:t>
      </w:r>
    </w:p>
    <w:p w14:paraId="0F1D23D4">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textAlignment w:val="auto"/>
        <w:outlineLvl w:val="0"/>
        <w:rPr>
          <w:rFonts w:hint="eastAsia" w:ascii="仿宋_GB2312" w:hAnsi="Times New Roman" w:eastAsia="仿宋_GB2312" w:cs="Times New Roman"/>
          <w:color w:val="000000"/>
          <w:kern w:val="0"/>
          <w:sz w:val="32"/>
          <w:szCs w:val="32"/>
          <w:lang w:val="en-US" w:eastAsia="zh-CN" w:bidi="ar-SA"/>
        </w:rPr>
      </w:pPr>
      <w:r>
        <w:rPr>
          <w:rFonts w:hint="eastAsia" w:ascii="仿宋_GB2312" w:hAnsi="Times New Roman" w:eastAsia="仿宋_GB2312" w:cs="Times New Roman"/>
          <w:color w:val="000000"/>
          <w:kern w:val="0"/>
          <w:sz w:val="32"/>
          <w:szCs w:val="32"/>
          <w:lang w:val="en-US" w:eastAsia="zh-CN" w:bidi="ar-SA"/>
        </w:rPr>
        <w:t>（一）标准适用范围</w:t>
      </w:r>
    </w:p>
    <w:p w14:paraId="58249A13">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textAlignment w:val="auto"/>
        <w:outlineLvl w:val="0"/>
        <w:rPr>
          <w:rFonts w:hint="eastAsia" w:ascii="仿宋_GB2312" w:hAnsi="Times New Roman" w:eastAsia="仿宋_GB2312" w:cs="Times New Roman"/>
          <w:color w:val="000000"/>
          <w:kern w:val="0"/>
          <w:sz w:val="32"/>
          <w:szCs w:val="32"/>
          <w:lang w:val="en-US" w:eastAsia="zh-CN" w:bidi="ar-SA"/>
        </w:rPr>
      </w:pPr>
      <w:r>
        <w:rPr>
          <w:rFonts w:hint="eastAsia" w:ascii="仿宋_GB2312" w:hAnsi="Times New Roman" w:eastAsia="仿宋_GB2312" w:cs="Times New Roman"/>
          <w:color w:val="000000"/>
          <w:kern w:val="0"/>
          <w:sz w:val="32"/>
          <w:szCs w:val="32"/>
          <w:lang w:val="en-US" w:eastAsia="zh-CN" w:bidi="ar-SA"/>
        </w:rPr>
        <w:t>本文件规定了消费品风险评估的一般要求、基本流程及风险控制措施等。</w:t>
      </w:r>
    </w:p>
    <w:p w14:paraId="17AA26C8">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textAlignment w:val="auto"/>
        <w:outlineLvl w:val="0"/>
        <w:rPr>
          <w:rFonts w:hint="eastAsia" w:ascii="仿宋_GB2312" w:hAnsi="Times New Roman" w:eastAsia="仿宋_GB2312" w:cs="Times New Roman"/>
          <w:color w:val="000000"/>
          <w:kern w:val="0"/>
          <w:sz w:val="32"/>
          <w:szCs w:val="32"/>
          <w:lang w:val="en-US" w:eastAsia="zh-CN" w:bidi="ar-SA"/>
        </w:rPr>
      </w:pPr>
      <w:r>
        <w:rPr>
          <w:rFonts w:hint="eastAsia" w:ascii="仿宋_GB2312" w:hAnsi="Times New Roman" w:eastAsia="仿宋_GB2312" w:cs="Times New Roman"/>
          <w:color w:val="000000"/>
          <w:kern w:val="0"/>
          <w:sz w:val="32"/>
          <w:szCs w:val="32"/>
          <w:lang w:val="en-US" w:eastAsia="zh-CN" w:bidi="ar-SA"/>
        </w:rPr>
        <w:t>本文件适用于江西省市场监督管理部门及相关技术机构开展消费品召回风险评估工作。</w:t>
      </w:r>
    </w:p>
    <w:p w14:paraId="2C453A1B">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textAlignment w:val="auto"/>
        <w:outlineLvl w:val="0"/>
        <w:rPr>
          <w:rFonts w:hint="eastAsia" w:ascii="仿宋_GB2312" w:hAnsi="Times New Roman" w:eastAsia="仿宋_GB2312" w:cs="Times New Roman"/>
          <w:color w:val="000000"/>
          <w:kern w:val="0"/>
          <w:sz w:val="32"/>
          <w:szCs w:val="32"/>
          <w:lang w:val="en-US" w:eastAsia="zh-CN" w:bidi="ar-SA"/>
        </w:rPr>
      </w:pPr>
      <w:r>
        <w:rPr>
          <w:rFonts w:hint="eastAsia" w:ascii="仿宋_GB2312" w:hAnsi="Times New Roman" w:eastAsia="仿宋_GB2312" w:cs="Times New Roman"/>
          <w:color w:val="000000"/>
          <w:kern w:val="0"/>
          <w:sz w:val="32"/>
          <w:szCs w:val="32"/>
          <w:lang w:val="en-US" w:eastAsia="zh-CN" w:bidi="ar-SA"/>
        </w:rPr>
        <w:t>（二）标准引用文件</w:t>
      </w:r>
    </w:p>
    <w:p w14:paraId="62A24B34">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本标准在编制过程中的主要依据：</w:t>
      </w:r>
    </w:p>
    <w:p w14:paraId="7CCBFA9D">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textAlignment w:val="auto"/>
        <w:outlineLvl w:val="0"/>
        <w:rPr>
          <w:rFonts w:hint="eastAsia" w:ascii="仿宋_GB2312" w:hAnsi="Times New Roman" w:eastAsia="仿宋_GB2312" w:cs="Times New Roman"/>
          <w:color w:val="000000"/>
          <w:kern w:val="0"/>
          <w:sz w:val="32"/>
          <w:szCs w:val="32"/>
          <w:lang w:val="en-US" w:eastAsia="zh-CN" w:bidi="ar-SA"/>
        </w:rPr>
      </w:pPr>
      <w:r>
        <w:rPr>
          <w:rFonts w:hint="eastAsia" w:ascii="仿宋_GB2312" w:hAnsi="Times New Roman" w:eastAsia="仿宋_GB2312" w:cs="Times New Roman"/>
          <w:color w:val="000000"/>
          <w:kern w:val="0"/>
          <w:sz w:val="32"/>
          <w:szCs w:val="32"/>
          <w:lang w:val="en-US" w:eastAsia="zh-CN" w:bidi="ar-SA"/>
        </w:rPr>
        <w:t>GB/T 22760 消费品安全 风险评估导则</w:t>
      </w:r>
    </w:p>
    <w:p w14:paraId="0C029B47">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textAlignment w:val="auto"/>
        <w:outlineLvl w:val="0"/>
        <w:rPr>
          <w:rFonts w:hint="eastAsia" w:ascii="仿宋_GB2312" w:hAnsi="Times New Roman" w:eastAsia="仿宋_GB2312" w:cs="Times New Roman"/>
          <w:color w:val="000000"/>
          <w:kern w:val="0"/>
          <w:sz w:val="32"/>
          <w:szCs w:val="32"/>
          <w:lang w:val="en-US" w:eastAsia="zh-CN" w:bidi="ar-SA"/>
        </w:rPr>
      </w:pPr>
      <w:r>
        <w:rPr>
          <w:rFonts w:hint="eastAsia" w:ascii="仿宋_GB2312" w:hAnsi="Times New Roman" w:eastAsia="仿宋_GB2312" w:cs="Times New Roman"/>
          <w:color w:val="000000"/>
          <w:kern w:val="0"/>
          <w:sz w:val="32"/>
          <w:szCs w:val="32"/>
          <w:lang w:val="en-US" w:eastAsia="zh-CN" w:bidi="ar-SA"/>
        </w:rPr>
        <w:t>DB36/T 1978 缺陷消费品召回工作管理技术规范</w:t>
      </w:r>
    </w:p>
    <w:p w14:paraId="38F80980">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textAlignment w:val="auto"/>
        <w:outlineLvl w:val="0"/>
        <w:rPr>
          <w:rFonts w:hint="eastAsia" w:ascii="仿宋_GB2312" w:hAnsi="Times New Roman" w:eastAsia="仿宋_GB2312" w:cs="Times New Roman"/>
          <w:color w:val="000000"/>
          <w:kern w:val="0"/>
          <w:sz w:val="32"/>
          <w:szCs w:val="32"/>
          <w:lang w:val="en-US" w:eastAsia="zh-CN" w:bidi="ar-SA"/>
        </w:rPr>
      </w:pPr>
      <w:r>
        <w:rPr>
          <w:rFonts w:hint="eastAsia" w:ascii="仿宋_GB2312" w:hAnsi="Times New Roman" w:eastAsia="仿宋_GB2312" w:cs="Times New Roman"/>
          <w:color w:val="000000"/>
          <w:kern w:val="0"/>
          <w:sz w:val="32"/>
          <w:szCs w:val="32"/>
          <w:lang w:val="en-US" w:eastAsia="zh-CN" w:bidi="ar-SA"/>
        </w:rPr>
        <w:t>（三）标准制定原则</w:t>
      </w:r>
    </w:p>
    <w:p w14:paraId="39D72046">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本标准的编制遵循“科学性、适用性、规范性、可操作性”等原则。起草小组在确保标准主要内容和技术条款先进性的前提下，按照GB/T 1.1—2020《标准化工作导则  第1部分：标准化文件的结构和起草规则》的规定起草，力求各项指标科学合理，符合行业工作实际需求，并注重标准的可操作性。</w:t>
      </w:r>
    </w:p>
    <w:p w14:paraId="2620F23A">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textAlignment w:val="auto"/>
        <w:outlineLvl w:val="0"/>
        <w:rPr>
          <w:rFonts w:hint="eastAsia" w:ascii="仿宋_GB2312" w:hAnsi="Times New Roman" w:eastAsia="仿宋_GB2312" w:cs="Times New Roman"/>
          <w:color w:val="000000"/>
          <w:kern w:val="0"/>
          <w:sz w:val="32"/>
          <w:szCs w:val="32"/>
          <w:lang w:val="en-US" w:eastAsia="zh-CN" w:bidi="ar-SA"/>
        </w:rPr>
      </w:pPr>
      <w:r>
        <w:rPr>
          <w:rFonts w:hint="eastAsia" w:ascii="仿宋_GB2312" w:hAnsi="Times New Roman" w:eastAsia="仿宋_GB2312" w:cs="Times New Roman"/>
          <w:color w:val="000000"/>
          <w:kern w:val="0"/>
          <w:sz w:val="32"/>
          <w:szCs w:val="32"/>
          <w:lang w:val="en-US" w:eastAsia="zh-CN" w:bidi="ar-SA"/>
        </w:rPr>
        <w:t>（四）标准主要内容</w:t>
      </w:r>
    </w:p>
    <w:p w14:paraId="419026D9">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1</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b w:val="0"/>
          <w:bCs/>
          <w:color w:val="000000"/>
          <w:sz w:val="32"/>
          <w:szCs w:val="32"/>
        </w:rPr>
        <w:t>术语与定义</w:t>
      </w:r>
    </w:p>
    <w:p w14:paraId="15134BE0">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jc w:val="left"/>
        <w:textAlignment w:val="auto"/>
        <w:outlineLvl w:val="2"/>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本标准主要</w:t>
      </w:r>
      <w:r>
        <w:rPr>
          <w:rFonts w:hint="eastAsia" w:ascii="仿宋_GB2312" w:hAnsi="仿宋_GB2312" w:eastAsia="仿宋_GB2312" w:cs="仿宋_GB2312"/>
          <w:b w:val="0"/>
          <w:bCs/>
          <w:color w:val="000000"/>
          <w:sz w:val="32"/>
          <w:szCs w:val="32"/>
          <w:lang w:eastAsia="zh-CN"/>
        </w:rPr>
        <w:t>对消费品召回风险评估</w:t>
      </w:r>
      <w:r>
        <w:rPr>
          <w:rFonts w:hint="eastAsia" w:ascii="仿宋_GB2312" w:hAnsi="仿宋_GB2312" w:eastAsia="仿宋_GB2312" w:cs="仿宋_GB2312"/>
          <w:b w:val="0"/>
          <w:bCs/>
          <w:color w:val="000000"/>
          <w:sz w:val="32"/>
          <w:szCs w:val="32"/>
          <w:lang w:val="en-US" w:eastAsia="zh-CN"/>
        </w:rPr>
        <w:t>相关术语</w:t>
      </w:r>
      <w:r>
        <w:rPr>
          <w:rFonts w:hint="eastAsia" w:ascii="仿宋_GB2312" w:hAnsi="仿宋_GB2312" w:eastAsia="仿宋_GB2312" w:cs="仿宋_GB2312"/>
          <w:b w:val="0"/>
          <w:bCs/>
          <w:color w:val="000000"/>
          <w:sz w:val="32"/>
          <w:szCs w:val="32"/>
        </w:rPr>
        <w:t>做出了解释说明。详见标准文本第3</w:t>
      </w:r>
      <w:r>
        <w:rPr>
          <w:rFonts w:hint="eastAsia" w:ascii="仿宋_GB2312" w:hAnsi="仿宋_GB2312" w:eastAsia="仿宋_GB2312" w:cs="仿宋_GB2312"/>
          <w:b w:val="0"/>
          <w:bCs/>
          <w:color w:val="000000"/>
          <w:sz w:val="32"/>
          <w:szCs w:val="32"/>
          <w:lang w:val="en-US" w:eastAsia="zh-CN"/>
        </w:rPr>
        <w:t>部分</w:t>
      </w:r>
      <w:r>
        <w:rPr>
          <w:rFonts w:hint="eastAsia" w:ascii="仿宋_GB2312" w:hAnsi="仿宋_GB2312" w:eastAsia="仿宋_GB2312" w:cs="仿宋_GB2312"/>
          <w:b w:val="0"/>
          <w:bCs/>
          <w:color w:val="000000"/>
          <w:sz w:val="32"/>
          <w:szCs w:val="32"/>
        </w:rPr>
        <w:t>。</w:t>
      </w:r>
    </w:p>
    <w:p w14:paraId="419957C6">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000000"/>
          <w:sz w:val="32"/>
          <w:szCs w:val="32"/>
          <w:lang w:val="en-US" w:eastAsia="zh-CN"/>
        </w:rPr>
        <w:t>2、总体要求</w:t>
      </w:r>
    </w:p>
    <w:p w14:paraId="6F1943CD">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000000"/>
          <w:sz w:val="32"/>
          <w:szCs w:val="32"/>
          <w:lang w:val="en-US" w:eastAsia="zh-CN"/>
        </w:rPr>
        <w:t>消费品风险评估应遵循科学,客观,公正的原则,确保风险评估活动的专业性和评估结果的准确性。</w:t>
      </w:r>
    </w:p>
    <w:p w14:paraId="4DDCE8B1">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000000"/>
          <w:sz w:val="32"/>
          <w:szCs w:val="32"/>
          <w:lang w:val="en-US" w:eastAsia="zh-CN"/>
        </w:rPr>
        <w:t>风险评估应覆盖消费品全生命周期，包括设计、生产、包装、储运、使用和回收等环节，综合考虑对人类健康、财产和环境的直接和间接影响。</w:t>
      </w:r>
    </w:p>
    <w:p w14:paraId="1EF9DEB9">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000000"/>
          <w:sz w:val="32"/>
          <w:szCs w:val="32"/>
          <w:lang w:val="en-US" w:eastAsia="zh-CN"/>
        </w:rPr>
        <w:t>评估过程中应确保评估的数据与信息真实、准确、及时、有效、充分。</w:t>
      </w:r>
    </w:p>
    <w:p w14:paraId="4DE3D433">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000000"/>
          <w:sz w:val="32"/>
          <w:szCs w:val="32"/>
          <w:lang w:val="en-US" w:eastAsia="zh-CN"/>
        </w:rPr>
        <w:t>应根据消费品安全危害(源)的类型、特点等，选用科学有效的风险评估方法。在数据充足的情况下，应优先采用定量风险评估方法。</w:t>
      </w:r>
    </w:p>
    <w:p w14:paraId="67FA6242">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000000"/>
          <w:sz w:val="32"/>
          <w:szCs w:val="32"/>
          <w:lang w:val="en-US" w:eastAsia="zh-CN"/>
        </w:rPr>
        <w:t>应明确风险评估管理组织,制定风险评估方案,按照风险识别、风险分析与风险评价的过程进行风险评估管理。</w:t>
      </w:r>
    </w:p>
    <w:p w14:paraId="2D371598">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000000"/>
          <w:sz w:val="32"/>
          <w:szCs w:val="32"/>
          <w:lang w:val="en-US" w:eastAsia="zh-CN"/>
        </w:rPr>
        <w:t>风险评估管理部门及受委托的技术人员不得将风险评估过程中获取的资料用于其他用途。</w:t>
      </w:r>
    </w:p>
    <w:p w14:paraId="02DCE137">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000000"/>
          <w:sz w:val="32"/>
          <w:szCs w:val="32"/>
          <w:lang w:val="en-US" w:eastAsia="zh-CN"/>
        </w:rPr>
        <w:t>3、主要内容</w:t>
      </w:r>
    </w:p>
    <w:p w14:paraId="7844A2BB">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000000"/>
          <w:sz w:val="32"/>
          <w:szCs w:val="32"/>
          <w:lang w:val="en-US" w:eastAsia="zh-CN"/>
        </w:rPr>
        <w:t>本标准从风险评估前准备、风险识别、风险分析、风险评价、风险评估报告、风险评估措施及风险评估文档记录等七个方面对消费品召回风险评估工作的具体操作过程提出了明确的要求。</w:t>
      </w:r>
    </w:p>
    <w:p w14:paraId="249AA40D">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六、与有关的现行法律、法规和强制性标准的关系</w:t>
      </w:r>
    </w:p>
    <w:p w14:paraId="79AD2F6B">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Times New Roman" w:eastAsia="仿宋_GB2312"/>
          <w:color w:val="000000"/>
          <w:sz w:val="32"/>
          <w:szCs w:val="32"/>
        </w:rPr>
      </w:pPr>
      <w:r>
        <w:rPr>
          <w:rFonts w:hint="eastAsia" w:ascii="仿宋_GB2312" w:hAnsi="Times New Roman" w:eastAsia="仿宋_GB2312"/>
          <w:color w:val="000000"/>
          <w:sz w:val="32"/>
          <w:szCs w:val="32"/>
        </w:rPr>
        <w:t>本标准与有关的现行</w:t>
      </w:r>
      <w:bookmarkStart w:id="0" w:name="_GoBack"/>
      <w:r>
        <w:rPr>
          <w:rFonts w:hint="eastAsia" w:ascii="仿宋_GB2312" w:hAnsi="Times New Roman" w:eastAsia="仿宋_GB2312"/>
          <w:color w:val="000000"/>
          <w:sz w:val="32"/>
          <w:szCs w:val="32"/>
        </w:rPr>
        <w:t>法律、法规</w:t>
      </w:r>
      <w:bookmarkEnd w:id="0"/>
      <w:r>
        <w:rPr>
          <w:rFonts w:hint="eastAsia" w:ascii="仿宋_GB2312" w:hAnsi="Times New Roman" w:eastAsia="仿宋_GB2312"/>
          <w:color w:val="000000"/>
          <w:sz w:val="32"/>
          <w:szCs w:val="32"/>
        </w:rPr>
        <w:t>和强制性标准不冲突。</w:t>
      </w:r>
    </w:p>
    <w:p w14:paraId="74C1757F">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七、</w:t>
      </w:r>
      <w:r>
        <w:rPr>
          <w:rFonts w:hint="eastAsia" w:ascii="黑体" w:hAnsi="黑体" w:eastAsia="黑体"/>
          <w:sz w:val="32"/>
          <w:szCs w:val="32"/>
        </w:rPr>
        <w:t>重大意见分歧的处理依据和结果</w:t>
      </w:r>
    </w:p>
    <w:p w14:paraId="0205420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宋体"/>
          <w:sz w:val="32"/>
          <w:szCs w:val="32"/>
        </w:rPr>
      </w:pPr>
      <w:r>
        <w:rPr>
          <w:rFonts w:hint="eastAsia" w:ascii="仿宋_GB2312" w:hAnsi="仿宋_GB2312" w:eastAsia="仿宋_GB2312" w:cs="宋体"/>
          <w:sz w:val="32"/>
          <w:szCs w:val="32"/>
        </w:rPr>
        <w:t>本标准的制定过程中无重大意见分歧。</w:t>
      </w:r>
    </w:p>
    <w:p w14:paraId="43C7296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lang w:eastAsia="zh-CN"/>
        </w:rPr>
        <w:t>八</w:t>
      </w:r>
      <w:r>
        <w:rPr>
          <w:rFonts w:hint="eastAsia" w:ascii="黑体" w:hAnsi="黑体" w:eastAsia="黑体"/>
          <w:sz w:val="32"/>
          <w:szCs w:val="32"/>
        </w:rPr>
        <w:t>、作为推荐性或强制性标准的建议及其理由</w:t>
      </w:r>
    </w:p>
    <w:p w14:paraId="0523778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宋体"/>
          <w:sz w:val="32"/>
          <w:szCs w:val="32"/>
        </w:rPr>
      </w:pPr>
      <w:r>
        <w:rPr>
          <w:rFonts w:hint="eastAsia" w:ascii="仿宋_GB2312" w:hAnsi="仿宋_GB2312" w:eastAsia="仿宋_GB2312"/>
          <w:sz w:val="32"/>
          <w:szCs w:val="32"/>
        </w:rPr>
        <w:t>建议作为推荐性标准发布实施。</w:t>
      </w:r>
    </w:p>
    <w:p w14:paraId="1886C8BA">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lang w:eastAsia="zh-CN"/>
        </w:rPr>
        <w:t>九</w:t>
      </w:r>
      <w:r>
        <w:rPr>
          <w:rFonts w:hint="eastAsia" w:ascii="黑体" w:hAnsi="黑体" w:eastAsia="黑体" w:cs="黑体"/>
          <w:b w:val="0"/>
          <w:bCs/>
          <w:kern w:val="0"/>
          <w:sz w:val="32"/>
          <w:szCs w:val="32"/>
        </w:rPr>
        <w:t>、标准实施预期效益</w:t>
      </w:r>
    </w:p>
    <w:p w14:paraId="3190C3E1">
      <w:pPr>
        <w:pStyle w:val="10"/>
        <w:keepNext w:val="0"/>
        <w:keepLines w:val="0"/>
        <w:pageBreakBefore w:val="0"/>
        <w:kinsoku/>
        <w:wordWrap/>
        <w:overflowPunct/>
        <w:topLinePunct w:val="0"/>
        <w:bidi w:val="0"/>
        <w:adjustRightInd w:val="0"/>
        <w:snapToGrid w:val="0"/>
        <w:spacing w:line="560" w:lineRule="exact"/>
        <w:ind w:firstLine="640" w:firstLineChars="200"/>
        <w:textAlignment w:val="auto"/>
        <w:rPr>
          <w:rFonts w:hint="eastAsia" w:ascii="仿宋_GB2312" w:hAnsi="Times New Roman" w:eastAsia="仿宋_GB2312" w:cs="Times New Roman"/>
          <w:color w:val="000000"/>
          <w:kern w:val="2"/>
          <w:sz w:val="32"/>
          <w:szCs w:val="32"/>
          <w:lang w:val="en-US" w:eastAsia="zh-CN" w:bidi="ar-SA"/>
        </w:rPr>
      </w:pPr>
      <w:r>
        <w:rPr>
          <w:rFonts w:hint="eastAsia" w:ascii="仿宋_GB2312" w:hAnsi="Times New Roman" w:eastAsia="仿宋_GB2312" w:cs="Times New Roman"/>
          <w:color w:val="000000"/>
          <w:kern w:val="2"/>
          <w:sz w:val="32"/>
          <w:szCs w:val="32"/>
          <w:lang w:val="en-US" w:eastAsia="zh-CN" w:bidi="ar-SA"/>
        </w:rPr>
        <w:t>本标准旨在为省</w:t>
      </w:r>
      <w:r>
        <w:rPr>
          <w:rFonts w:hint="eastAsia" w:ascii="仿宋_GB2312" w:eastAsia="仿宋_GB2312" w:cs="Times New Roman"/>
          <w:color w:val="000000"/>
          <w:kern w:val="2"/>
          <w:sz w:val="32"/>
          <w:szCs w:val="32"/>
          <w:lang w:val="en-US" w:eastAsia="zh-CN" w:bidi="ar-SA"/>
        </w:rPr>
        <w:t>内各级</w:t>
      </w:r>
      <w:r>
        <w:rPr>
          <w:rFonts w:hint="eastAsia" w:ascii="仿宋_GB2312" w:hAnsi="Times New Roman" w:eastAsia="仿宋_GB2312" w:cs="Times New Roman"/>
          <w:color w:val="000000"/>
          <w:kern w:val="2"/>
          <w:sz w:val="32"/>
          <w:szCs w:val="32"/>
          <w:lang w:val="en-US" w:eastAsia="zh-CN" w:bidi="ar-SA"/>
        </w:rPr>
        <w:t>召回监管部门及</w:t>
      </w:r>
      <w:r>
        <w:rPr>
          <w:rFonts w:hint="eastAsia" w:ascii="仿宋_GB2312" w:eastAsia="仿宋_GB2312" w:cs="Times New Roman"/>
          <w:color w:val="000000"/>
          <w:kern w:val="2"/>
          <w:sz w:val="32"/>
          <w:szCs w:val="32"/>
          <w:lang w:val="en-US" w:eastAsia="zh-CN" w:bidi="ar-SA"/>
        </w:rPr>
        <w:t>风险评估</w:t>
      </w:r>
      <w:r>
        <w:rPr>
          <w:rFonts w:hint="eastAsia" w:ascii="仿宋_GB2312" w:hAnsi="Times New Roman" w:eastAsia="仿宋_GB2312" w:cs="Times New Roman"/>
          <w:color w:val="000000"/>
          <w:kern w:val="2"/>
          <w:sz w:val="32"/>
          <w:szCs w:val="32"/>
          <w:lang w:val="en-US" w:eastAsia="zh-CN" w:bidi="ar-SA"/>
        </w:rPr>
        <w:t>技术机构开展缺陷消费品召回</w:t>
      </w:r>
      <w:r>
        <w:rPr>
          <w:rFonts w:hint="eastAsia" w:ascii="仿宋_GB2312" w:eastAsia="仿宋_GB2312" w:cs="Times New Roman"/>
          <w:color w:val="000000"/>
          <w:kern w:val="2"/>
          <w:sz w:val="32"/>
          <w:szCs w:val="32"/>
          <w:lang w:val="en-US" w:eastAsia="zh-CN" w:bidi="ar-SA"/>
        </w:rPr>
        <w:t>风险评估</w:t>
      </w:r>
      <w:r>
        <w:rPr>
          <w:rFonts w:hint="eastAsia" w:ascii="仿宋_GB2312" w:hAnsi="Times New Roman" w:eastAsia="仿宋_GB2312" w:cs="Times New Roman"/>
          <w:color w:val="000000"/>
          <w:kern w:val="2"/>
          <w:sz w:val="32"/>
          <w:szCs w:val="32"/>
          <w:lang w:val="en-US" w:eastAsia="zh-CN" w:bidi="ar-SA"/>
        </w:rPr>
        <w:t>工作提供指引，充分发挥标准的引领作用，全面</w:t>
      </w:r>
      <w:r>
        <w:rPr>
          <w:rFonts w:hint="eastAsia" w:ascii="仿宋_GB2312" w:eastAsia="仿宋_GB2312" w:cs="Times New Roman"/>
          <w:color w:val="000000"/>
          <w:kern w:val="2"/>
          <w:sz w:val="32"/>
          <w:szCs w:val="32"/>
          <w:lang w:val="en-US" w:eastAsia="zh-CN" w:bidi="ar-SA"/>
        </w:rPr>
        <w:t>完善风险评估工作流程，</w:t>
      </w:r>
      <w:r>
        <w:rPr>
          <w:rFonts w:hint="eastAsia" w:ascii="仿宋_GB2312" w:hAnsi="Times New Roman" w:eastAsia="仿宋_GB2312" w:cs="Times New Roman"/>
          <w:color w:val="000000"/>
          <w:kern w:val="2"/>
          <w:sz w:val="32"/>
          <w:szCs w:val="32"/>
          <w:lang w:val="en-US" w:eastAsia="zh-CN" w:bidi="ar-SA"/>
        </w:rPr>
        <w:t>规范我省缺陷消费品召回</w:t>
      </w:r>
      <w:r>
        <w:rPr>
          <w:rFonts w:hint="eastAsia" w:ascii="仿宋_GB2312" w:eastAsia="仿宋_GB2312" w:cs="Times New Roman"/>
          <w:color w:val="000000"/>
          <w:kern w:val="2"/>
          <w:sz w:val="32"/>
          <w:szCs w:val="32"/>
          <w:lang w:val="en-US" w:eastAsia="zh-CN" w:bidi="ar-SA"/>
        </w:rPr>
        <w:t>风险评估</w:t>
      </w:r>
      <w:r>
        <w:rPr>
          <w:rFonts w:hint="eastAsia" w:ascii="仿宋_GB2312" w:hAnsi="Times New Roman" w:eastAsia="仿宋_GB2312" w:cs="Times New Roman"/>
          <w:color w:val="000000"/>
          <w:kern w:val="2"/>
          <w:sz w:val="32"/>
          <w:szCs w:val="32"/>
          <w:lang w:val="en-US" w:eastAsia="zh-CN" w:bidi="ar-SA"/>
        </w:rPr>
        <w:t>工作</w:t>
      </w:r>
      <w:r>
        <w:rPr>
          <w:rFonts w:hint="eastAsia" w:ascii="仿宋_GB2312" w:eastAsia="仿宋_GB2312" w:cs="Times New Roman"/>
          <w:color w:val="000000"/>
          <w:kern w:val="2"/>
          <w:sz w:val="32"/>
          <w:szCs w:val="32"/>
          <w:lang w:val="en-US" w:eastAsia="zh-CN" w:bidi="ar-SA"/>
        </w:rPr>
        <w:t>。</w:t>
      </w:r>
      <w:r>
        <w:rPr>
          <w:rFonts w:hint="eastAsia" w:ascii="仿宋_GB2312" w:hAnsi="Times New Roman" w:eastAsia="仿宋_GB2312" w:cs="Times New Roman"/>
          <w:color w:val="000000"/>
          <w:kern w:val="2"/>
          <w:sz w:val="32"/>
          <w:szCs w:val="32"/>
          <w:lang w:val="en-US" w:eastAsia="zh-CN" w:bidi="ar-SA"/>
        </w:rPr>
        <w:t>有助于消费者消除、降低产品安全隐患，切实增强维护消费安全的责任感，为我省消费品质量保障打下了良好的基础。</w:t>
      </w:r>
    </w:p>
    <w:p w14:paraId="04B710C3">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lang w:eastAsia="zh-CN"/>
        </w:rPr>
        <w:t>十</w:t>
      </w:r>
      <w:r>
        <w:rPr>
          <w:rFonts w:hint="eastAsia" w:ascii="黑体" w:hAnsi="黑体" w:eastAsia="黑体" w:cs="黑体"/>
          <w:b w:val="0"/>
          <w:bCs/>
          <w:kern w:val="0"/>
          <w:sz w:val="32"/>
          <w:szCs w:val="32"/>
        </w:rPr>
        <w:t>、贯彻标准的要求和措施建议</w:t>
      </w:r>
    </w:p>
    <w:p w14:paraId="17A44576">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default" w:ascii="仿宋_GB2312" w:hAnsi="Times New Roman" w:eastAsia="仿宋_GB2312"/>
          <w:color w:val="auto"/>
          <w:sz w:val="32"/>
          <w:szCs w:val="32"/>
          <w:lang w:val="en-US" w:eastAsia="zh-CN"/>
        </w:rPr>
      </w:pPr>
      <w:r>
        <w:rPr>
          <w:rFonts w:hint="eastAsia" w:ascii="仿宋_GB2312" w:hAnsi="Times New Roman" w:eastAsia="仿宋_GB2312"/>
          <w:color w:val="auto"/>
          <w:sz w:val="32"/>
          <w:szCs w:val="32"/>
          <w:lang w:val="en-US" w:eastAsia="zh-CN"/>
        </w:rPr>
        <w:t>1、建议有关部门将本标准下发至各级</w:t>
      </w:r>
      <w:r>
        <w:rPr>
          <w:rFonts w:hint="eastAsia" w:ascii="仿宋_GB2312" w:hAnsi="Times New Roman" w:eastAsia="仿宋_GB2312" w:cs="Times New Roman"/>
          <w:color w:val="000000"/>
          <w:kern w:val="2"/>
          <w:sz w:val="32"/>
          <w:szCs w:val="32"/>
          <w:lang w:val="en-US" w:eastAsia="zh-CN" w:bidi="ar-SA"/>
        </w:rPr>
        <w:t>召回监管部门及相关技术机构，进行宣传、贯彻和培训</w:t>
      </w:r>
      <w:r>
        <w:rPr>
          <w:rFonts w:hint="eastAsia" w:ascii="仿宋_GB2312" w:hAnsi="Times New Roman" w:eastAsia="仿宋_GB2312"/>
          <w:color w:val="auto"/>
          <w:sz w:val="32"/>
          <w:szCs w:val="32"/>
          <w:lang w:val="en-US" w:eastAsia="zh-CN"/>
        </w:rPr>
        <w:t>。</w:t>
      </w:r>
    </w:p>
    <w:p w14:paraId="27CF06D3">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Times New Roman" w:eastAsia="仿宋_GB2312"/>
          <w:color w:val="auto"/>
          <w:sz w:val="32"/>
          <w:szCs w:val="32"/>
          <w:lang w:val="en-US" w:eastAsia="zh-CN"/>
        </w:rPr>
      </w:pPr>
      <w:r>
        <w:rPr>
          <w:rFonts w:hint="eastAsia" w:ascii="仿宋_GB2312" w:hAnsi="Times New Roman" w:eastAsia="仿宋_GB2312"/>
          <w:color w:val="auto"/>
          <w:sz w:val="32"/>
          <w:szCs w:val="32"/>
          <w:lang w:val="en-US" w:eastAsia="zh-CN"/>
        </w:rPr>
        <w:t>2、本标准为首次制定，在实施过程中，各级召回监管部门及相关技术机构有意见建议及时告知本标准编制单位，进行进一步的修订完善。</w:t>
      </w:r>
    </w:p>
    <w:p w14:paraId="613D62E4">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Times New Roman" w:eastAsia="仿宋_GB2312"/>
          <w:color w:val="auto"/>
          <w:sz w:val="32"/>
          <w:szCs w:val="32"/>
          <w:lang w:val="en-US" w:eastAsia="zh-CN"/>
        </w:rPr>
      </w:pPr>
    </w:p>
    <w:p w14:paraId="39694CC9">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Times New Roman" w:eastAsia="仿宋_GB2312"/>
          <w:color w:val="auto"/>
          <w:sz w:val="32"/>
          <w:szCs w:val="32"/>
          <w:lang w:val="en-US" w:eastAsia="zh-CN"/>
        </w:rPr>
      </w:pPr>
    </w:p>
    <w:p w14:paraId="4CFD5E1C">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right"/>
        <w:textAlignment w:val="auto"/>
        <w:rPr>
          <w:rFonts w:hint="eastAsia" w:ascii="仿宋_GB2312" w:hAnsi="Times New Roman" w:eastAsia="仿宋_GB2312"/>
          <w:color w:val="auto"/>
          <w:sz w:val="32"/>
          <w:szCs w:val="32"/>
          <w:lang w:val="en-US" w:eastAsia="zh-CN"/>
        </w:rPr>
      </w:pPr>
      <w:r>
        <w:rPr>
          <w:rFonts w:hint="eastAsia" w:ascii="仿宋_GB2312" w:hAnsi="Times New Roman" w:eastAsia="仿宋_GB2312"/>
          <w:color w:val="auto"/>
          <w:sz w:val="32"/>
          <w:szCs w:val="32"/>
          <w:lang w:val="en-US" w:eastAsia="zh-CN"/>
        </w:rPr>
        <w:t>《消费品召回风险评估工作指南》标准起草小组</w:t>
      </w:r>
    </w:p>
    <w:p w14:paraId="67DA51CC">
      <w:pPr>
        <w:keepNext w:val="0"/>
        <w:keepLines w:val="0"/>
        <w:pageBreakBefore w:val="0"/>
        <w:kinsoku/>
        <w:wordWrap/>
        <w:overflowPunct/>
        <w:topLinePunct w:val="0"/>
        <w:autoSpaceDE/>
        <w:autoSpaceDN/>
        <w:bidi w:val="0"/>
        <w:adjustRightInd w:val="0"/>
        <w:snapToGrid w:val="0"/>
        <w:spacing w:line="560" w:lineRule="exact"/>
        <w:ind w:right="560" w:firstLine="640" w:firstLineChars="200"/>
        <w:jc w:val="center"/>
        <w:textAlignment w:val="auto"/>
      </w:pP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rPr>
        <w:t>202</w:t>
      </w:r>
      <w:r>
        <w:rPr>
          <w:rFonts w:hint="eastAsia" w:ascii="仿宋_GB2312" w:hAnsi="宋体" w:eastAsia="仿宋_GB2312"/>
          <w:sz w:val="32"/>
          <w:szCs w:val="32"/>
          <w:lang w:val="en-US" w:eastAsia="zh-CN"/>
        </w:rPr>
        <w:t>5</w:t>
      </w:r>
      <w:r>
        <w:rPr>
          <w:rFonts w:hint="eastAsia" w:ascii="仿宋_GB2312" w:hAnsi="宋体" w:eastAsia="仿宋_GB2312"/>
          <w:sz w:val="32"/>
          <w:szCs w:val="32"/>
        </w:rPr>
        <w:t>年</w:t>
      </w:r>
      <w:r>
        <w:rPr>
          <w:rFonts w:hint="eastAsia" w:ascii="仿宋_GB2312" w:hAnsi="宋体" w:eastAsia="仿宋_GB2312"/>
          <w:sz w:val="32"/>
          <w:szCs w:val="32"/>
          <w:lang w:val="en-US" w:eastAsia="zh-CN"/>
        </w:rPr>
        <w:t>1</w:t>
      </w:r>
      <w:r>
        <w:rPr>
          <w:rFonts w:hint="eastAsia" w:ascii="仿宋_GB2312" w:hAnsi="宋体" w:eastAsia="仿宋_GB2312"/>
          <w:sz w:val="32"/>
          <w:szCs w:val="32"/>
        </w:rPr>
        <w:t>月</w:t>
      </w:r>
      <w:r>
        <w:rPr>
          <w:rFonts w:hint="eastAsia" w:ascii="仿宋_GB2312" w:hAnsi="宋体" w:eastAsia="仿宋_GB2312"/>
          <w:sz w:val="32"/>
          <w:szCs w:val="32"/>
          <w:lang w:val="en-US" w:eastAsia="zh-CN"/>
        </w:rPr>
        <w:t>6</w:t>
      </w:r>
      <w:r>
        <w:rPr>
          <w:rFonts w:hint="eastAsia" w:ascii="仿宋_GB2312" w:hAnsi="宋体" w:eastAsia="仿宋_GB2312"/>
          <w:sz w:val="32"/>
          <w:szCs w:val="32"/>
        </w:rPr>
        <w:t>日</w:t>
      </w:r>
    </w:p>
    <w:sectPr>
      <w:footerReference r:id="rId3" w:type="default"/>
      <w:pgSz w:w="11906" w:h="16838"/>
      <w:pgMar w:top="1440" w:right="1588" w:bottom="130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95092EE-F3DD-4FDA-BBE2-018F91E8EAD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00000001" w:usb1="08000000" w:usb2="00000000" w:usb3="00000000" w:csb0="00040000" w:csb1="00000000"/>
    <w:embedRegular r:id="rId2" w:fontKey="{256B3703-9E2E-4CC9-BAA2-8C14159DECBA}"/>
  </w:font>
  <w:font w:name="仿宋_GB2312">
    <w:altName w:val="仿宋"/>
    <w:panose1 w:val="02010609030101010101"/>
    <w:charset w:val="86"/>
    <w:family w:val="modern"/>
    <w:pitch w:val="default"/>
    <w:sig w:usb0="00000000" w:usb1="00000000" w:usb2="00000000" w:usb3="00000000" w:csb0="00040000" w:csb1="00000000"/>
    <w:embedRegular r:id="rId3" w:fontKey="{277D310B-0077-4B5B-9FF0-E11009E9F311}"/>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0426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83FD69">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E83FD6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A133D6"/>
    <w:multiLevelType w:val="singleLevel"/>
    <w:tmpl w:val="8EA133D6"/>
    <w:lvl w:ilvl="0" w:tentative="0">
      <w:start w:val="1"/>
      <w:numFmt w:val="chineseCounting"/>
      <w:suff w:val="nothing"/>
      <w:lvlText w:val="%1、"/>
      <w:lvlJc w:val="left"/>
      <w:rPr>
        <w:rFonts w:hint="eastAsia"/>
      </w:rPr>
    </w:lvl>
  </w:abstractNum>
  <w:abstractNum w:abstractNumId="1">
    <w:nsid w:val="A8453883"/>
    <w:multiLevelType w:val="singleLevel"/>
    <w:tmpl w:val="A8453883"/>
    <w:lvl w:ilvl="0" w:tentative="0">
      <w:start w:val="1"/>
      <w:numFmt w:val="decimal"/>
      <w:lvlText w:val="(%1)"/>
      <w:lvlJc w:val="left"/>
      <w:pPr>
        <w:ind w:left="425" w:hanging="425"/>
      </w:pPr>
      <w:rPr>
        <w:rFonts w:hint="default"/>
      </w:rPr>
    </w:lvl>
  </w:abstractNum>
  <w:abstractNum w:abstractNumId="2">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4ODExZjJlYWQzMjYwYjE5NjA3MGQwM2ZiM2RiM2QifQ=="/>
  </w:docVars>
  <w:rsids>
    <w:rsidRoot w:val="1BE34F8C"/>
    <w:rsid w:val="00544CFE"/>
    <w:rsid w:val="010E179D"/>
    <w:rsid w:val="020F1380"/>
    <w:rsid w:val="02AF383B"/>
    <w:rsid w:val="02F94AB6"/>
    <w:rsid w:val="04210B99"/>
    <w:rsid w:val="04A134EE"/>
    <w:rsid w:val="07163748"/>
    <w:rsid w:val="08BB35AB"/>
    <w:rsid w:val="09BD45E6"/>
    <w:rsid w:val="0A827597"/>
    <w:rsid w:val="0B207DFC"/>
    <w:rsid w:val="0B9E5CA4"/>
    <w:rsid w:val="0D920C64"/>
    <w:rsid w:val="0E7B23C8"/>
    <w:rsid w:val="0F6D12FE"/>
    <w:rsid w:val="0FE72BAF"/>
    <w:rsid w:val="15312BF7"/>
    <w:rsid w:val="157A68B3"/>
    <w:rsid w:val="171D7FD8"/>
    <w:rsid w:val="17DD62BD"/>
    <w:rsid w:val="18397BB8"/>
    <w:rsid w:val="1A67359E"/>
    <w:rsid w:val="1BB2184F"/>
    <w:rsid w:val="1BE34F8C"/>
    <w:rsid w:val="1BEE234F"/>
    <w:rsid w:val="1C527552"/>
    <w:rsid w:val="1E79580D"/>
    <w:rsid w:val="1E852CCC"/>
    <w:rsid w:val="20E95F52"/>
    <w:rsid w:val="227B478A"/>
    <w:rsid w:val="23D62A7A"/>
    <w:rsid w:val="24C83355"/>
    <w:rsid w:val="26524604"/>
    <w:rsid w:val="27466343"/>
    <w:rsid w:val="27FFC608"/>
    <w:rsid w:val="2A462018"/>
    <w:rsid w:val="2B3C3314"/>
    <w:rsid w:val="2D4B3B86"/>
    <w:rsid w:val="2FBE3418"/>
    <w:rsid w:val="313A63D7"/>
    <w:rsid w:val="34D21323"/>
    <w:rsid w:val="362A7311"/>
    <w:rsid w:val="378EBB49"/>
    <w:rsid w:val="39FF38F8"/>
    <w:rsid w:val="3BBDCF10"/>
    <w:rsid w:val="3C38267A"/>
    <w:rsid w:val="3C6634F2"/>
    <w:rsid w:val="3CB46D7D"/>
    <w:rsid w:val="3D346BA3"/>
    <w:rsid w:val="3DC8149C"/>
    <w:rsid w:val="3DCD7CBA"/>
    <w:rsid w:val="3E5534D8"/>
    <w:rsid w:val="3FB2F60B"/>
    <w:rsid w:val="3FEB3E8A"/>
    <w:rsid w:val="40CD75FA"/>
    <w:rsid w:val="417A4695"/>
    <w:rsid w:val="423B3A9C"/>
    <w:rsid w:val="429157C0"/>
    <w:rsid w:val="43346E69"/>
    <w:rsid w:val="452D158C"/>
    <w:rsid w:val="476B04B5"/>
    <w:rsid w:val="49480AF6"/>
    <w:rsid w:val="4A493BE6"/>
    <w:rsid w:val="4AE729B3"/>
    <w:rsid w:val="4CD70CAE"/>
    <w:rsid w:val="4E99C1C4"/>
    <w:rsid w:val="4FAB14FB"/>
    <w:rsid w:val="4FFA6D45"/>
    <w:rsid w:val="5032409D"/>
    <w:rsid w:val="509E3B74"/>
    <w:rsid w:val="50EA57CF"/>
    <w:rsid w:val="51DF7B64"/>
    <w:rsid w:val="524845E8"/>
    <w:rsid w:val="525A7D8B"/>
    <w:rsid w:val="53C51035"/>
    <w:rsid w:val="53F47681"/>
    <w:rsid w:val="54B756AE"/>
    <w:rsid w:val="56B624FB"/>
    <w:rsid w:val="56F508DE"/>
    <w:rsid w:val="57CD2971"/>
    <w:rsid w:val="58AD5A20"/>
    <w:rsid w:val="59E262CB"/>
    <w:rsid w:val="5EB79735"/>
    <w:rsid w:val="5ED47131"/>
    <w:rsid w:val="5FB97AEE"/>
    <w:rsid w:val="5FCD025D"/>
    <w:rsid w:val="60BF4D40"/>
    <w:rsid w:val="60F0394C"/>
    <w:rsid w:val="617B35AA"/>
    <w:rsid w:val="618E4CF7"/>
    <w:rsid w:val="638D0EDA"/>
    <w:rsid w:val="656D4ED5"/>
    <w:rsid w:val="65EC6D69"/>
    <w:rsid w:val="66A16A6A"/>
    <w:rsid w:val="66B47C34"/>
    <w:rsid w:val="67937E05"/>
    <w:rsid w:val="6A7A370B"/>
    <w:rsid w:val="6AC87D14"/>
    <w:rsid w:val="6B1B7E43"/>
    <w:rsid w:val="6B200345"/>
    <w:rsid w:val="6C3806B1"/>
    <w:rsid w:val="6C435C13"/>
    <w:rsid w:val="6D0C2932"/>
    <w:rsid w:val="6E0704F3"/>
    <w:rsid w:val="6E8E3022"/>
    <w:rsid w:val="6F9E1016"/>
    <w:rsid w:val="706F13C6"/>
    <w:rsid w:val="71FA177E"/>
    <w:rsid w:val="750741FE"/>
    <w:rsid w:val="76070058"/>
    <w:rsid w:val="77CA0A7C"/>
    <w:rsid w:val="7AA45FB6"/>
    <w:rsid w:val="7BBC4BAD"/>
    <w:rsid w:val="7BE9291F"/>
    <w:rsid w:val="7BE95573"/>
    <w:rsid w:val="7BFD23AF"/>
    <w:rsid w:val="7CBA19FD"/>
    <w:rsid w:val="7EB47221"/>
    <w:rsid w:val="7F7814F8"/>
    <w:rsid w:val="7F9F1226"/>
    <w:rsid w:val="7FEE8D2D"/>
    <w:rsid w:val="9EEEBBE8"/>
    <w:rsid w:val="9F3D0BAB"/>
    <w:rsid w:val="B3FE6C49"/>
    <w:rsid w:val="BF9FA18F"/>
    <w:rsid w:val="DFCD3D60"/>
    <w:rsid w:val="E4FC46B7"/>
    <w:rsid w:val="FBBC073C"/>
    <w:rsid w:val="FBDF43CD"/>
    <w:rsid w:val="FF5F0DFC"/>
    <w:rsid w:val="FFEBB34D"/>
    <w:rsid w:val="FFFF3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qFormat/>
    <w:uiPriority w:val="0"/>
    <w:rPr>
      <w:sz w:val="24"/>
    </w:rPr>
  </w:style>
  <w:style w:type="paragraph" w:customStyle="1" w:styleId="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3">
    <w:name w:val="二级无"/>
    <w:basedOn w:val="14"/>
    <w:qFormat/>
    <w:uiPriority w:val="0"/>
    <w:pPr>
      <w:spacing w:before="0" w:beforeLines="0" w:after="0" w:afterLines="0"/>
      <w:ind w:left="0" w:firstLine="0"/>
    </w:pPr>
    <w:rPr>
      <w:rFonts w:ascii="宋体" w:eastAsia="宋体"/>
    </w:rPr>
  </w:style>
  <w:style w:type="paragraph" w:customStyle="1" w:styleId="14">
    <w:name w:val="二级条标题"/>
    <w:basedOn w:val="15"/>
    <w:next w:val="10"/>
    <w:qFormat/>
    <w:uiPriority w:val="0"/>
    <w:pPr>
      <w:numPr>
        <w:ilvl w:val="2"/>
        <w:numId w:val="1"/>
      </w:numPr>
      <w:spacing w:before="50" w:after="50"/>
      <w:outlineLvl w:val="3"/>
    </w:pPr>
  </w:style>
  <w:style w:type="paragraph" w:customStyle="1" w:styleId="15">
    <w:name w:val="一级条标题"/>
    <w:next w:val="10"/>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2860</Words>
  <Characters>2921</Characters>
  <Lines>0</Lines>
  <Paragraphs>0</Paragraphs>
  <TotalTime>1</TotalTime>
  <ScaleCrop>false</ScaleCrop>
  <LinksUpToDate>false</LinksUpToDate>
  <CharactersWithSpaces>2952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2021-05-25T03:14:00Z</dcterms:created>
  <dc:creator>刘</dc:creator>
  <cp:lastModifiedBy>陈星瞳</cp:lastModifiedBy>
  <cp:lastPrinted>2023-08-07T01:16:00Z</cp:lastPrinted>
  <dcterms:modified xsi:type="dcterms:W3CDTF">2025-01-07T02:11:03Z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179F2F26AB114D079ED2EE7B12570396</vt:lpwstr>
  </property>
  <property fmtid="{D5CDD505-2E9C-101B-9397-08002B2CF9AE}" pid="4" name="KSOTemplateDocerSaveRecord">
    <vt:lpwstr>eyJoZGlkIjoiNzhiMjFhNjIyYzE0ZWNjMWI5NjJlODEyYTM4NmRiY2EiLCJ1c2VySWQiOiIxMjEzNjU0MDg4In0=</vt:lpwstr>
  </property>
</Properties>
</file>